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95F5" w14:textId="049A76E3" w:rsidR="00000000" w:rsidRPr="00091037" w:rsidRDefault="00BF3CC9" w:rsidP="001C438E">
      <w:pPr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091037">
        <w:rPr>
          <w:rFonts w:ascii="Calibri Light" w:hAnsi="Calibri Light" w:cs="Calibri Light"/>
          <w:b/>
          <w:bCs/>
          <w:sz w:val="24"/>
          <w:szCs w:val="24"/>
        </w:rPr>
        <w:t>O u</w:t>
      </w:r>
      <w:r w:rsidR="00046463" w:rsidRPr="00091037">
        <w:rPr>
          <w:rFonts w:ascii="Calibri Light" w:hAnsi="Calibri Light" w:cs="Calibri Light"/>
          <w:b/>
          <w:bCs/>
          <w:sz w:val="24"/>
          <w:szCs w:val="24"/>
        </w:rPr>
        <w:t xml:space="preserve">so de carcaças </w:t>
      </w:r>
      <w:r w:rsidRPr="00091037">
        <w:rPr>
          <w:rFonts w:ascii="Calibri Light" w:hAnsi="Calibri Light" w:cs="Calibri Light"/>
          <w:b/>
          <w:bCs/>
          <w:sz w:val="24"/>
          <w:szCs w:val="24"/>
        </w:rPr>
        <w:t>ou</w:t>
      </w:r>
      <w:r w:rsidR="00046463" w:rsidRPr="00091037">
        <w:rPr>
          <w:rFonts w:ascii="Calibri Light" w:hAnsi="Calibri Light" w:cs="Calibri Light"/>
          <w:b/>
          <w:bCs/>
          <w:sz w:val="24"/>
          <w:szCs w:val="24"/>
        </w:rPr>
        <w:t xml:space="preserve"> mat</w:t>
      </w:r>
      <w:r w:rsidR="009059D2">
        <w:rPr>
          <w:rFonts w:ascii="Calibri Light" w:hAnsi="Calibri Light" w:cs="Calibri Light"/>
          <w:b/>
          <w:bCs/>
          <w:sz w:val="24"/>
          <w:szCs w:val="24"/>
        </w:rPr>
        <w:t>e</w:t>
      </w:r>
      <w:r w:rsidR="00046463" w:rsidRPr="00091037">
        <w:rPr>
          <w:rFonts w:ascii="Calibri Light" w:hAnsi="Calibri Light" w:cs="Calibri Light"/>
          <w:b/>
          <w:bCs/>
          <w:sz w:val="24"/>
          <w:szCs w:val="24"/>
        </w:rPr>
        <w:t>ria</w:t>
      </w:r>
      <w:r w:rsidRPr="00091037">
        <w:rPr>
          <w:rFonts w:ascii="Calibri Light" w:hAnsi="Calibri Light" w:cs="Calibri Light"/>
          <w:b/>
          <w:bCs/>
          <w:sz w:val="24"/>
          <w:szCs w:val="24"/>
        </w:rPr>
        <w:t>l</w:t>
      </w:r>
      <w:r w:rsidR="00046463" w:rsidRPr="00091037">
        <w:rPr>
          <w:rFonts w:ascii="Calibri Light" w:hAnsi="Calibri Light" w:cs="Calibri Light"/>
          <w:b/>
          <w:bCs/>
          <w:sz w:val="24"/>
          <w:szCs w:val="24"/>
        </w:rPr>
        <w:t xml:space="preserve"> biológico de animais</w:t>
      </w:r>
      <w:r w:rsidR="009059D2">
        <w:rPr>
          <w:rFonts w:ascii="Calibri Light" w:hAnsi="Calibri Light" w:cs="Calibri Light"/>
          <w:b/>
          <w:bCs/>
          <w:sz w:val="24"/>
          <w:szCs w:val="24"/>
        </w:rPr>
        <w:t>,</w:t>
      </w:r>
      <w:r w:rsidR="00046463" w:rsidRPr="00091037">
        <w:rPr>
          <w:rFonts w:ascii="Calibri Light" w:hAnsi="Calibri Light" w:cs="Calibri Light"/>
          <w:b/>
          <w:bCs/>
          <w:sz w:val="24"/>
          <w:szCs w:val="24"/>
        </w:rPr>
        <w:t xml:space="preserve"> necessita de análise ética?</w:t>
      </w:r>
    </w:p>
    <w:p w14:paraId="531BA5AD" w14:textId="77777777" w:rsidR="00BF3CC9" w:rsidRPr="00091037" w:rsidRDefault="00BF3CC9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r w:rsidRPr="00091037">
        <w:rPr>
          <w:rFonts w:ascii="Calibri Light" w:hAnsi="Calibri Light" w:cs="Calibri Light"/>
          <w:sz w:val="24"/>
          <w:szCs w:val="24"/>
        </w:rPr>
        <w:t xml:space="preserve">Considerando </w:t>
      </w:r>
      <w:r w:rsidR="00046463" w:rsidRPr="00091037">
        <w:rPr>
          <w:rFonts w:ascii="Calibri Light" w:hAnsi="Calibri Light" w:cs="Calibri Light"/>
          <w:sz w:val="24"/>
          <w:szCs w:val="24"/>
        </w:rPr>
        <w:t>a</w:t>
      </w:r>
      <w:r w:rsidRPr="00091037">
        <w:rPr>
          <w:rFonts w:ascii="Calibri Light" w:hAnsi="Calibri Light" w:cs="Calibri Light"/>
          <w:sz w:val="24"/>
          <w:szCs w:val="24"/>
        </w:rPr>
        <w:t xml:space="preserve"> </w:t>
      </w:r>
      <w:r w:rsidRPr="00091037">
        <w:rPr>
          <w:rFonts w:ascii="Calibri Light" w:hAnsi="Calibri Light" w:cs="Calibri Light"/>
          <w:color w:val="162937"/>
          <w:sz w:val="24"/>
          <w:szCs w:val="24"/>
          <w:shd w:val="clear" w:color="auto" w:fill="FFFFFF"/>
        </w:rPr>
        <w:t xml:space="preserve">Diretriz Brasileira para o Cuidado e a Utilização de Animais em Atividades de Ensino ou de Pesquisa Científica – DBCA – conforme a </w:t>
      </w:r>
      <w:r w:rsidR="00046463" w:rsidRPr="00091037">
        <w:rPr>
          <w:rFonts w:ascii="Calibri Light" w:hAnsi="Calibri Light" w:cs="Calibri Light"/>
          <w:sz w:val="24"/>
          <w:szCs w:val="24"/>
        </w:rPr>
        <w:t xml:space="preserve">RN </w:t>
      </w:r>
      <w:r w:rsidRPr="00091037">
        <w:rPr>
          <w:rFonts w:ascii="Calibri Light" w:hAnsi="Calibri Light" w:cs="Calibri Light"/>
          <w:sz w:val="24"/>
          <w:szCs w:val="24"/>
        </w:rPr>
        <w:t>55</w:t>
      </w:r>
      <w:r w:rsidR="00046463" w:rsidRPr="00091037">
        <w:rPr>
          <w:rFonts w:ascii="Calibri Light" w:hAnsi="Calibri Light" w:cs="Calibri Light"/>
          <w:sz w:val="24"/>
          <w:szCs w:val="24"/>
        </w:rPr>
        <w:t>-CONCEA</w:t>
      </w:r>
      <w:r w:rsidRPr="00091037">
        <w:rPr>
          <w:rFonts w:ascii="Calibri Light" w:hAnsi="Calibri Light" w:cs="Calibri Light"/>
          <w:sz w:val="24"/>
          <w:szCs w:val="24"/>
        </w:rPr>
        <w:t xml:space="preserve">, disponível em: </w:t>
      </w:r>
      <w:hyperlink r:id="rId4" w:history="1">
        <w:r w:rsidRPr="00091037">
          <w:rPr>
            <w:rStyle w:val="Hyperlink"/>
            <w:rFonts w:ascii="Calibri Light" w:hAnsi="Calibri Light" w:cs="Calibri Light"/>
            <w:color w:val="auto"/>
            <w:sz w:val="24"/>
            <w:szCs w:val="24"/>
          </w:rPr>
          <w:t>https://www.in.gov.br/en/web/dou/-/resolucao-n-55-de-5-de-outubro-de-2022-434869177</w:t>
        </w:r>
      </w:hyperlink>
      <w:r w:rsidRPr="00091037">
        <w:rPr>
          <w:rFonts w:ascii="Calibri Light" w:hAnsi="Calibri Light" w:cs="Calibri Light"/>
          <w:sz w:val="24"/>
          <w:szCs w:val="24"/>
        </w:rPr>
        <w:t xml:space="preserve"> </w:t>
      </w:r>
    </w:p>
    <w:p w14:paraId="66AFB3A4" w14:textId="77777777" w:rsidR="00BF3CC9" w:rsidRPr="00091037" w:rsidRDefault="00BF3CC9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</w:p>
    <w:p w14:paraId="7D8B8A98" w14:textId="77777777" w:rsidR="00046463" w:rsidRPr="00091037" w:rsidRDefault="00BF3CC9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r w:rsidRPr="00091037">
        <w:rPr>
          <w:rFonts w:ascii="Calibri Light" w:hAnsi="Calibri Light" w:cs="Calibri Light"/>
          <w:sz w:val="24"/>
          <w:szCs w:val="24"/>
        </w:rPr>
        <w:t xml:space="preserve">Considerando </w:t>
      </w:r>
      <w:r w:rsidR="00046463" w:rsidRPr="00091037">
        <w:rPr>
          <w:rFonts w:ascii="Calibri Light" w:hAnsi="Calibri Light" w:cs="Calibri Light"/>
          <w:sz w:val="24"/>
          <w:szCs w:val="24"/>
        </w:rPr>
        <w:t>a</w:t>
      </w:r>
      <w:r w:rsidRPr="00091037">
        <w:rPr>
          <w:rFonts w:ascii="Calibri Light" w:hAnsi="Calibri Light" w:cs="Calibri Light"/>
          <w:sz w:val="24"/>
          <w:szCs w:val="24"/>
        </w:rPr>
        <w:t>s</w:t>
      </w:r>
      <w:r w:rsidR="00046463" w:rsidRPr="00091037">
        <w:rPr>
          <w:rFonts w:ascii="Calibri Light" w:hAnsi="Calibri Light" w:cs="Calibri Light"/>
          <w:sz w:val="24"/>
          <w:szCs w:val="24"/>
        </w:rPr>
        <w:t xml:space="preserve"> </w:t>
      </w:r>
      <w:r w:rsidRPr="00091037">
        <w:rPr>
          <w:rFonts w:ascii="Calibri Light" w:hAnsi="Calibri Light" w:cs="Calibri Light"/>
          <w:sz w:val="24"/>
          <w:szCs w:val="24"/>
        </w:rPr>
        <w:t xml:space="preserve">informações sobre o uso de materiais biológicos, disponível em: </w:t>
      </w:r>
      <w:hyperlink r:id="rId5" w:history="1">
        <w:r w:rsidR="00046463" w:rsidRPr="00091037">
          <w:rPr>
            <w:rStyle w:val="Hyperlink"/>
            <w:rFonts w:ascii="Calibri Light" w:hAnsi="Calibri Light" w:cs="Calibri Light"/>
            <w:color w:val="auto"/>
            <w:sz w:val="24"/>
            <w:szCs w:val="24"/>
          </w:rPr>
          <w:t>https://www.gov.br/mcti/pt-br/composicao/conselhos/concea/paginas/perguntas-frequentes/perguntas-frequentes-ao-concea-e-suas-respostas</w:t>
        </w:r>
      </w:hyperlink>
    </w:p>
    <w:p w14:paraId="6D50D843" w14:textId="77777777" w:rsidR="00046463" w:rsidRPr="00091037" w:rsidRDefault="00202B83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r w:rsidRPr="00091037">
        <w:rPr>
          <w:rFonts w:ascii="Calibri Light" w:hAnsi="Calibri Light" w:cs="Calibri Light"/>
          <w:sz w:val="24"/>
          <w:szCs w:val="24"/>
        </w:rPr>
        <w:t>e</w:t>
      </w:r>
    </w:p>
    <w:p w14:paraId="518563AC" w14:textId="77777777" w:rsidR="00202B83" w:rsidRPr="00091037" w:rsidRDefault="00202B83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hyperlink r:id="rId6" w:history="1">
        <w:r w:rsidRPr="00091037">
          <w:rPr>
            <w:rStyle w:val="Hyperlink"/>
            <w:rFonts w:ascii="Calibri Light" w:hAnsi="Calibri Light" w:cs="Calibri Light"/>
            <w:color w:val="auto"/>
            <w:sz w:val="24"/>
            <w:szCs w:val="24"/>
          </w:rPr>
          <w:t>antigo.mctic.gov.br/mctic/opencms/institucional/concea/arquivos/videos_concea/Octavio.mp4</w:t>
        </w:r>
      </w:hyperlink>
    </w:p>
    <w:p w14:paraId="054D9587" w14:textId="77777777" w:rsidR="00202B83" w:rsidRPr="00091037" w:rsidRDefault="00202B83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</w:p>
    <w:p w14:paraId="0C6E1FEE" w14:textId="77777777" w:rsidR="00046463" w:rsidRPr="00091037" w:rsidRDefault="00BF3CC9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r w:rsidRPr="00091037">
        <w:rPr>
          <w:rFonts w:ascii="Calibri Light" w:hAnsi="Calibri Light" w:cs="Calibri Light"/>
          <w:sz w:val="24"/>
          <w:szCs w:val="24"/>
        </w:rPr>
        <w:t xml:space="preserve">Verificamos que para o uso de </w:t>
      </w:r>
      <w:r w:rsidRPr="00091037">
        <w:rPr>
          <w:rFonts w:ascii="Calibri Light" w:hAnsi="Calibri Light" w:cs="Calibri Light"/>
          <w:color w:val="162937"/>
          <w:sz w:val="24"/>
          <w:szCs w:val="24"/>
          <w:shd w:val="clear" w:color="auto" w:fill="FFFFFF"/>
        </w:rPr>
        <w:t xml:space="preserve">cadáveres, partes deles ou amostras biológicas, com finalidade científica ou de ensino, os pesquisadores devem </w:t>
      </w:r>
      <w:r w:rsidR="00046463" w:rsidRPr="00091037">
        <w:rPr>
          <w:rFonts w:ascii="Calibri Light" w:hAnsi="Calibri Light" w:cs="Calibri Light"/>
          <w:sz w:val="24"/>
          <w:szCs w:val="24"/>
        </w:rPr>
        <w:t xml:space="preserve">seguir o disposto item 6.1.10 da Resolução Normativa n° </w:t>
      </w:r>
      <w:r w:rsidRPr="00091037">
        <w:rPr>
          <w:rFonts w:ascii="Calibri Light" w:hAnsi="Calibri Light" w:cs="Calibri Light"/>
          <w:sz w:val="24"/>
          <w:szCs w:val="24"/>
        </w:rPr>
        <w:t>55</w:t>
      </w:r>
      <w:r w:rsidR="00046463" w:rsidRPr="00091037">
        <w:rPr>
          <w:rFonts w:ascii="Calibri Light" w:hAnsi="Calibri Light" w:cs="Calibri Light"/>
          <w:sz w:val="24"/>
          <w:szCs w:val="24"/>
        </w:rPr>
        <w:t xml:space="preserve"> do </w:t>
      </w:r>
      <w:r w:rsidRPr="00091037">
        <w:rPr>
          <w:rFonts w:ascii="Calibri Light" w:hAnsi="Calibri Light" w:cs="Calibri Light"/>
          <w:sz w:val="24"/>
          <w:szCs w:val="24"/>
        </w:rPr>
        <w:t>CONCEA, item “a” ou “b” conforme pertinente:</w:t>
      </w:r>
    </w:p>
    <w:p w14:paraId="77CBB6AA" w14:textId="77777777" w:rsidR="00046463" w:rsidRPr="00091037" w:rsidRDefault="00046463" w:rsidP="001C438E">
      <w:pPr>
        <w:pStyle w:val="Recuodecorpodetexto"/>
        <w:ind w:left="1701" w:firstLine="0"/>
        <w:rPr>
          <w:rFonts w:ascii="Calibri Light" w:hAnsi="Calibri Light" w:cs="Calibri Light"/>
          <w:sz w:val="24"/>
          <w:szCs w:val="24"/>
        </w:rPr>
      </w:pPr>
    </w:p>
    <w:p w14:paraId="5D2B835A" w14:textId="77777777" w:rsidR="00BF3CC9" w:rsidRPr="00091037" w:rsidRDefault="00046463" w:rsidP="001C438E">
      <w:pPr>
        <w:pStyle w:val="dou-paragraph"/>
        <w:shd w:val="clear" w:color="auto" w:fill="FFFFFF"/>
        <w:spacing w:before="0" w:beforeAutospacing="0" w:after="150" w:afterAutospacing="0"/>
        <w:ind w:left="1701"/>
        <w:jc w:val="both"/>
        <w:rPr>
          <w:rFonts w:ascii="Calibri Light" w:hAnsi="Calibri Light" w:cs="Calibri Light"/>
          <w:color w:val="162937"/>
        </w:rPr>
      </w:pPr>
      <w:r w:rsidRPr="00091037">
        <w:rPr>
          <w:rFonts w:ascii="Calibri Light" w:hAnsi="Calibri Light" w:cs="Calibri Light"/>
        </w:rPr>
        <w:t>“</w:t>
      </w:r>
      <w:r w:rsidR="00BF3CC9" w:rsidRPr="00091037">
        <w:rPr>
          <w:rFonts w:ascii="Calibri Light" w:hAnsi="Calibri Light" w:cs="Calibri Light"/>
          <w:color w:val="162937"/>
        </w:rPr>
        <w:t>6.1.10. Em caso de uso de cadáveres, partes deles ou amostras biológicas em atividades de ensino ou de pesquisa científica, os responsáveis pela atividade devem:</w:t>
      </w:r>
    </w:p>
    <w:p w14:paraId="695B0D9A" w14:textId="77777777" w:rsidR="00BF3CC9" w:rsidRPr="00091037" w:rsidRDefault="00BF3CC9" w:rsidP="001C438E">
      <w:pPr>
        <w:pStyle w:val="dou-paragraph"/>
        <w:shd w:val="clear" w:color="auto" w:fill="FFFFFF"/>
        <w:spacing w:before="0" w:beforeAutospacing="0" w:after="150" w:afterAutospacing="0"/>
        <w:ind w:left="1701"/>
        <w:jc w:val="both"/>
        <w:rPr>
          <w:rFonts w:ascii="Calibri Light" w:hAnsi="Calibri Light" w:cs="Calibri Light"/>
          <w:color w:val="162937"/>
        </w:rPr>
      </w:pPr>
      <w:r w:rsidRPr="00091037">
        <w:rPr>
          <w:rFonts w:ascii="Calibri Light" w:hAnsi="Calibri Light" w:cs="Calibri Light"/>
          <w:color w:val="162937"/>
        </w:rPr>
        <w:t>a) exigir, previamente ao recebimento da amostra, evidência formal de que a atividade que originou a amostra foi autorizada pela CEUA pertinente quando o material for obtido de animais incluídos em uma atividade de ensino ou de pesquisa científica;</w:t>
      </w:r>
    </w:p>
    <w:p w14:paraId="6525BB17" w14:textId="77777777" w:rsidR="00BF3CC9" w:rsidRPr="00091037" w:rsidRDefault="00BF3CC9" w:rsidP="001C438E">
      <w:pPr>
        <w:pStyle w:val="dou-paragraph"/>
        <w:shd w:val="clear" w:color="auto" w:fill="FFFFFF"/>
        <w:spacing w:before="0" w:beforeAutospacing="0" w:after="150" w:afterAutospacing="0"/>
        <w:ind w:left="1701"/>
        <w:jc w:val="both"/>
        <w:rPr>
          <w:rFonts w:ascii="Calibri Light" w:hAnsi="Calibri Light" w:cs="Calibri Light"/>
          <w:color w:val="162937"/>
        </w:rPr>
      </w:pPr>
      <w:r w:rsidRPr="00091037">
        <w:rPr>
          <w:rFonts w:ascii="Calibri Light" w:hAnsi="Calibri Light" w:cs="Calibri Light"/>
          <w:color w:val="162937"/>
        </w:rPr>
        <w:t>b) manter documentação que evidencie a origem do material de forma inequívoca. A evidência poderá ser nota fiscal de compra, recibo, fotografias ou documentos oficiais dos serviços de vigilância, dentre outros aplicáveis quando o material não for oriundo de uma atividade de ensino ou de pesquisa científica, por exemplo: i) cadáveres de animais atropelados em rodovias; ii) sobras de amostras biológicas colhidas a bem do tratamento de animais que deles necessitavam ou cirurgias eletivas; iii) cadáveres ou parte deles oriundos das atividades de frigoríficos, abatedouros oficiais ou produtores rurais para consumo; iv) cadáveres ou partes deles oriundos de animais mortos por serviços de vigilância sanitária; v) cadáveres ou partes deles obtidos em estabelecimentos comerciais como mercados ou feiras livres ou; vi) sobras de amostras biológicas colhidas pelos serviços de vigilância sanitária.</w:t>
      </w:r>
      <w:r w:rsidR="001C438E" w:rsidRPr="00091037">
        <w:rPr>
          <w:rFonts w:ascii="Calibri Light" w:hAnsi="Calibri Light" w:cs="Calibri Light"/>
          <w:color w:val="162937"/>
        </w:rPr>
        <w:t>”</w:t>
      </w:r>
    </w:p>
    <w:p w14:paraId="73873BA4" w14:textId="77777777" w:rsidR="00046463" w:rsidRPr="00091037" w:rsidRDefault="00046463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</w:p>
    <w:p w14:paraId="2607FE10" w14:textId="77777777" w:rsidR="00046463" w:rsidRPr="00091037" w:rsidRDefault="00FC25F7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r w:rsidRPr="00091037">
        <w:rPr>
          <w:rFonts w:ascii="Calibri Light" w:hAnsi="Calibri Light" w:cs="Calibri Light"/>
          <w:sz w:val="24"/>
          <w:szCs w:val="24"/>
        </w:rPr>
        <w:t>A equipe de pesquisa deve manter atenção quanto à responsabilidade descrita no item 6.1.11 da mesma RN 55, que preceitua:</w:t>
      </w:r>
    </w:p>
    <w:p w14:paraId="1BAA6C7A" w14:textId="77777777" w:rsidR="00FC25F7" w:rsidRPr="00091037" w:rsidRDefault="00FC25F7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</w:p>
    <w:p w14:paraId="741054CA" w14:textId="77777777" w:rsidR="00FC25F7" w:rsidRPr="00091037" w:rsidRDefault="00FC25F7" w:rsidP="00FC25F7">
      <w:pPr>
        <w:pStyle w:val="Default"/>
        <w:rPr>
          <w:rFonts w:ascii="Calibri Light" w:hAnsi="Calibri Light" w:cs="Calibri Light"/>
        </w:rPr>
      </w:pPr>
    </w:p>
    <w:p w14:paraId="3191CCBC" w14:textId="77777777" w:rsidR="00FC25F7" w:rsidRPr="00091037" w:rsidRDefault="00FC25F7" w:rsidP="00FC25F7">
      <w:pPr>
        <w:pStyle w:val="Default"/>
        <w:rPr>
          <w:rFonts w:ascii="Calibri Light" w:hAnsi="Calibri Light" w:cs="Calibri Light"/>
        </w:rPr>
      </w:pPr>
    </w:p>
    <w:p w14:paraId="41680BCF" w14:textId="77777777" w:rsidR="00FC25F7" w:rsidRPr="00091037" w:rsidRDefault="00FC25F7" w:rsidP="00FC25F7">
      <w:pPr>
        <w:pStyle w:val="dou-paragraph"/>
        <w:shd w:val="clear" w:color="auto" w:fill="FFFFFF"/>
        <w:spacing w:before="0" w:beforeAutospacing="0" w:after="150" w:afterAutospacing="0"/>
        <w:ind w:left="1701"/>
        <w:jc w:val="both"/>
        <w:rPr>
          <w:rFonts w:ascii="Calibri Light" w:hAnsi="Calibri Light" w:cs="Calibri Light"/>
        </w:rPr>
      </w:pPr>
      <w:r w:rsidRPr="00091037">
        <w:rPr>
          <w:rFonts w:ascii="Calibri Light" w:hAnsi="Calibri Light" w:cs="Calibri Light"/>
        </w:rPr>
        <w:lastRenderedPageBreak/>
        <w:t>“6.1.11. A responsabilidade, no caso de eventual violação de normas ou de princípios éticos para a obtenção dos materiais descritos nos subitens do item 4.4.10, é do responsável pela atividade, compartilhada por sua equipe, nunca da CEUA institucional.”</w:t>
      </w:r>
    </w:p>
    <w:p w14:paraId="4F99D0ED" w14:textId="77777777" w:rsidR="00FC25F7" w:rsidRPr="00091037" w:rsidRDefault="00FC25F7" w:rsidP="00FC25F7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</w:p>
    <w:p w14:paraId="5AF0EDEF" w14:textId="77777777" w:rsidR="00046463" w:rsidRPr="00091037" w:rsidRDefault="00046463" w:rsidP="001C438E">
      <w:pPr>
        <w:pStyle w:val="Recuodecorpodetexto"/>
        <w:ind w:firstLine="0"/>
        <w:rPr>
          <w:rFonts w:ascii="Calibri Light" w:hAnsi="Calibri Light" w:cs="Calibri Light"/>
          <w:b/>
          <w:bCs/>
          <w:sz w:val="24"/>
          <w:szCs w:val="24"/>
        </w:rPr>
      </w:pPr>
      <w:r w:rsidRPr="00091037">
        <w:rPr>
          <w:rFonts w:ascii="Calibri Light" w:hAnsi="Calibri Light" w:cs="Calibri Light"/>
          <w:b/>
          <w:bCs/>
          <w:sz w:val="24"/>
          <w:szCs w:val="24"/>
        </w:rPr>
        <w:t xml:space="preserve">Dessa forma, </w:t>
      </w:r>
      <w:r w:rsidR="001C438E" w:rsidRPr="00091037">
        <w:rPr>
          <w:rFonts w:ascii="Calibri Light" w:hAnsi="Calibri Light" w:cs="Calibri Light"/>
          <w:b/>
          <w:bCs/>
          <w:sz w:val="24"/>
          <w:szCs w:val="24"/>
        </w:rPr>
        <w:t xml:space="preserve">as atividades de pesquisa e ensino que utilizarem </w:t>
      </w:r>
      <w:r w:rsidR="001C438E" w:rsidRPr="00091037">
        <w:rPr>
          <w:rFonts w:ascii="Calibri Light" w:hAnsi="Calibri Light" w:cs="Calibri Light"/>
          <w:b/>
          <w:bCs/>
          <w:color w:val="162937"/>
          <w:sz w:val="24"/>
          <w:szCs w:val="24"/>
          <w:shd w:val="clear" w:color="auto" w:fill="FFFFFF"/>
        </w:rPr>
        <w:t>cadáveres, partes deles ou amostras biológicas</w:t>
      </w:r>
      <w:r w:rsidR="0076320A" w:rsidRPr="00091037">
        <w:rPr>
          <w:rFonts w:ascii="Calibri Light" w:hAnsi="Calibri Light" w:cs="Calibri Light"/>
          <w:b/>
          <w:bCs/>
          <w:color w:val="162937"/>
          <w:sz w:val="24"/>
          <w:szCs w:val="24"/>
          <w:shd w:val="clear" w:color="auto" w:fill="FFFFFF"/>
        </w:rPr>
        <w:t>,</w:t>
      </w:r>
      <w:r w:rsidR="001C438E" w:rsidRPr="00091037">
        <w:rPr>
          <w:rFonts w:ascii="Calibri Light" w:hAnsi="Calibri Light" w:cs="Calibri Light"/>
          <w:b/>
          <w:bCs/>
          <w:color w:val="162937"/>
          <w:sz w:val="24"/>
          <w:szCs w:val="24"/>
          <w:shd w:val="clear" w:color="auto" w:fill="FFFFFF"/>
        </w:rPr>
        <w:t xml:space="preserve"> </w:t>
      </w:r>
      <w:r w:rsidR="001D0EDA" w:rsidRPr="00091037">
        <w:rPr>
          <w:rFonts w:ascii="Calibri Light" w:hAnsi="Calibri Light" w:cs="Calibri Light"/>
          <w:b/>
          <w:bCs/>
          <w:color w:val="162937"/>
          <w:sz w:val="24"/>
          <w:szCs w:val="24"/>
          <w:shd w:val="clear" w:color="auto" w:fill="FFFFFF"/>
        </w:rPr>
        <w:t>serão</w:t>
      </w:r>
      <w:r w:rsidR="001C438E" w:rsidRPr="00091037">
        <w:rPr>
          <w:rFonts w:ascii="Calibri Light" w:hAnsi="Calibri Light" w:cs="Calibri Light"/>
          <w:b/>
          <w:bCs/>
          <w:color w:val="162937"/>
          <w:sz w:val="24"/>
          <w:szCs w:val="24"/>
          <w:shd w:val="clear" w:color="auto" w:fill="FFFFFF"/>
        </w:rPr>
        <w:t xml:space="preserve"> dispensadas de registro e análise ética, desde que os pesquisadores atendam à norma </w:t>
      </w:r>
      <w:r w:rsidR="001C438E" w:rsidRPr="00091037">
        <w:rPr>
          <w:rFonts w:ascii="Calibri Light" w:hAnsi="Calibri Light" w:cs="Calibri Light"/>
          <w:b/>
          <w:bCs/>
          <w:sz w:val="24"/>
          <w:szCs w:val="24"/>
        </w:rPr>
        <w:t>referenciada</w:t>
      </w:r>
      <w:r w:rsidR="00B00F67" w:rsidRPr="00091037">
        <w:rPr>
          <w:rFonts w:ascii="Calibri Light" w:hAnsi="Calibri Light" w:cs="Calibri Light"/>
          <w:b/>
          <w:bCs/>
          <w:sz w:val="24"/>
          <w:szCs w:val="24"/>
        </w:rPr>
        <w:t>, sob responsabilidade da equipe de pesquisa/ensino</w:t>
      </w:r>
      <w:r w:rsidR="001C438E" w:rsidRPr="00091037">
        <w:rPr>
          <w:rFonts w:ascii="Calibri Light" w:hAnsi="Calibri Light" w:cs="Calibri Light"/>
          <w:b/>
          <w:bCs/>
          <w:sz w:val="24"/>
          <w:szCs w:val="24"/>
        </w:rPr>
        <w:t xml:space="preserve">.  </w:t>
      </w:r>
    </w:p>
    <w:p w14:paraId="67E4E1DB" w14:textId="77777777" w:rsidR="001C438E" w:rsidRPr="00091037" w:rsidRDefault="001C438E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</w:p>
    <w:p w14:paraId="52B98E4F" w14:textId="77777777" w:rsidR="001C438E" w:rsidRPr="00091037" w:rsidRDefault="001C438E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r w:rsidRPr="00091037">
        <w:rPr>
          <w:rFonts w:ascii="Calibri Light" w:hAnsi="Calibri Light" w:cs="Calibri Light"/>
          <w:sz w:val="24"/>
          <w:szCs w:val="24"/>
        </w:rPr>
        <w:t>Atenciosamente,</w:t>
      </w:r>
    </w:p>
    <w:p w14:paraId="3395614A" w14:textId="77777777" w:rsidR="001C438E" w:rsidRPr="00091037" w:rsidRDefault="001C438E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</w:p>
    <w:p w14:paraId="04C21FA4" w14:textId="77777777" w:rsidR="001C438E" w:rsidRPr="00091037" w:rsidRDefault="00613E9D" w:rsidP="001C438E">
      <w:pPr>
        <w:pStyle w:val="Recuodecorpodetexto"/>
        <w:ind w:firstLine="0"/>
        <w:rPr>
          <w:rFonts w:ascii="Calibri Light" w:hAnsi="Calibri Light" w:cs="Calibri Light"/>
          <w:sz w:val="24"/>
          <w:szCs w:val="24"/>
        </w:rPr>
      </w:pPr>
      <w:r w:rsidRPr="00091037">
        <w:rPr>
          <w:rFonts w:ascii="Calibri Light" w:hAnsi="Calibri Light" w:cs="Calibri Light"/>
          <w:sz w:val="24"/>
          <w:szCs w:val="24"/>
        </w:rPr>
        <w:t>CEUA/UEM</w:t>
      </w:r>
    </w:p>
    <w:p w14:paraId="26447C32" w14:textId="77777777" w:rsidR="00046463" w:rsidRPr="00091037" w:rsidRDefault="00046463" w:rsidP="001C438E">
      <w:pPr>
        <w:ind w:left="0" w:firstLine="0"/>
        <w:rPr>
          <w:rFonts w:ascii="Calibri Light" w:hAnsi="Calibri Light" w:cs="Calibri Light"/>
          <w:sz w:val="24"/>
          <w:szCs w:val="24"/>
        </w:rPr>
      </w:pPr>
    </w:p>
    <w:sectPr w:rsidR="00046463" w:rsidRPr="00091037" w:rsidSect="003E3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63"/>
    <w:rsid w:val="000352BB"/>
    <w:rsid w:val="00046463"/>
    <w:rsid w:val="00091037"/>
    <w:rsid w:val="000D7EC0"/>
    <w:rsid w:val="001054E6"/>
    <w:rsid w:val="00116EE6"/>
    <w:rsid w:val="001855CE"/>
    <w:rsid w:val="001C438E"/>
    <w:rsid w:val="001D0EDA"/>
    <w:rsid w:val="00202B83"/>
    <w:rsid w:val="00234659"/>
    <w:rsid w:val="0025675A"/>
    <w:rsid w:val="00276699"/>
    <w:rsid w:val="002F65EC"/>
    <w:rsid w:val="003011AC"/>
    <w:rsid w:val="003E3C43"/>
    <w:rsid w:val="00563EEC"/>
    <w:rsid w:val="005C1145"/>
    <w:rsid w:val="00613E9D"/>
    <w:rsid w:val="006333B3"/>
    <w:rsid w:val="006867C3"/>
    <w:rsid w:val="006C2B9F"/>
    <w:rsid w:val="006F0425"/>
    <w:rsid w:val="00715C45"/>
    <w:rsid w:val="0076320A"/>
    <w:rsid w:val="008A727A"/>
    <w:rsid w:val="008E52F3"/>
    <w:rsid w:val="009059D2"/>
    <w:rsid w:val="009160FD"/>
    <w:rsid w:val="009300DC"/>
    <w:rsid w:val="009430DB"/>
    <w:rsid w:val="009838EB"/>
    <w:rsid w:val="009C2406"/>
    <w:rsid w:val="00A41049"/>
    <w:rsid w:val="00AB5221"/>
    <w:rsid w:val="00AC777A"/>
    <w:rsid w:val="00B00F67"/>
    <w:rsid w:val="00B1594C"/>
    <w:rsid w:val="00BA2DF7"/>
    <w:rsid w:val="00BC3C3D"/>
    <w:rsid w:val="00BF3CC9"/>
    <w:rsid w:val="00BF48AF"/>
    <w:rsid w:val="00CB4A51"/>
    <w:rsid w:val="00CC7B1B"/>
    <w:rsid w:val="00CD5EE5"/>
    <w:rsid w:val="00E80E0B"/>
    <w:rsid w:val="00ED681A"/>
    <w:rsid w:val="00F02E98"/>
    <w:rsid w:val="00F75949"/>
    <w:rsid w:val="00F75DAF"/>
    <w:rsid w:val="00FC25F7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E85D"/>
  <w15:docId w15:val="{9FBA5C10-DA51-440A-8833-9B245B4E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60"/>
        <w:ind w:left="714" w:right="142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46463"/>
    <w:pPr>
      <w:widowControl w:val="0"/>
      <w:spacing w:after="0"/>
      <w:ind w:left="0" w:right="0" w:firstLine="3402"/>
    </w:pPr>
    <w:rPr>
      <w:rFonts w:ascii="Times New Roman" w:eastAsia="Times New Roman" w:hAnsi="Times New Roman" w:cs="Times New Roman"/>
      <w:spacing w:val="1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46463"/>
    <w:rPr>
      <w:rFonts w:ascii="Times New Roman" w:eastAsia="Times New Roman" w:hAnsi="Times New Roman" w:cs="Times New Roman"/>
      <w:spacing w:val="1"/>
      <w:sz w:val="20"/>
      <w:szCs w:val="20"/>
      <w:lang w:eastAsia="pt-BR"/>
    </w:rPr>
  </w:style>
  <w:style w:type="character" w:styleId="Hyperlink">
    <w:name w:val="Hyperlink"/>
    <w:basedOn w:val="Fontepargpadro"/>
    <w:rsid w:val="0004646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46463"/>
    <w:rPr>
      <w:color w:val="800080" w:themeColor="followedHyperlink"/>
      <w:u w:val="single"/>
    </w:rPr>
  </w:style>
  <w:style w:type="paragraph" w:customStyle="1" w:styleId="dou-paragraph">
    <w:name w:val="dou-paragraph"/>
    <w:basedOn w:val="Normal"/>
    <w:rsid w:val="00BF3CC9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5F7"/>
    <w:pPr>
      <w:autoSpaceDE w:val="0"/>
      <w:autoSpaceDN w:val="0"/>
      <w:adjustRightInd w:val="0"/>
      <w:spacing w:after="0"/>
      <w:ind w:left="0" w:right="0" w:firstLine="0"/>
      <w:jc w:val="left"/>
    </w:pPr>
    <w:rPr>
      <w:rFonts w:ascii="Rawline Medium" w:hAnsi="Rawline Medium" w:cs="Rawline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tigo.mctic.gov.br/mctic/opencms/institucional/concea/arquivos/videos_concea/Octavio.mp4" TargetMode="External"/><Relationship Id="rId5" Type="http://schemas.openxmlformats.org/officeDocument/2006/relationships/hyperlink" Target="https://www.gov.br/mcti/pt-br/composicao/conselhos/concea/paginas/perguntas-frequentes/perguntas-frequentes-ao-concea-e-suas-respostas" TargetMode="External"/><Relationship Id="rId4" Type="http://schemas.openxmlformats.org/officeDocument/2006/relationships/hyperlink" Target="https://www.in.gov.br/en/web/dou/-/resolucao-n-55-de-5-de-outubro-de-2022-43486917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Comitês</dc:creator>
  <cp:lastModifiedBy>Michelle Silveira de Brito</cp:lastModifiedBy>
  <cp:revision>10</cp:revision>
  <dcterms:created xsi:type="dcterms:W3CDTF">2023-11-21T14:05:00Z</dcterms:created>
  <dcterms:modified xsi:type="dcterms:W3CDTF">2025-08-26T12:00:00Z</dcterms:modified>
</cp:coreProperties>
</file>